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Reglamento de seguridad para contratistas</w:t>
      </w:r>
    </w:p>
    <w:tbl>
      <w:tblPr>
        <w:tblW w:w="963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cantSplit/>
          <w:tblHeader/>
        </w:trPr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Código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Versión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Vigente desde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Elaboró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Aprobó</w:t>
            </w:r>
          </w:p>
        </w:tc>
      </w:tr>
      <w:tr>
        <w:trPr>
          <w:cantSplit/>
          <w:trHeight w:val="454" w:hRule="atLeast"/>
        </w:trPr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1. Objeto</w:t>
      </w:r>
    </w:p>
    <w:p>
      <w:r>
        <w:t xml:space="preserve">Este reglamento establece las reglas de seguridad y salud que debe cumplir toda empresa contratista y su personal mientras trabaja en las instalaciones de </w:t>
      </w:r>
      <w:r>
        <w:rPr>
          <w:b/>
          <w:bCs/>
        </w:rPr>
        <w:t xml:space="preserve">[Razón social de la empresa]</w:t>
      </w:r>
      <w:r>
        <w:t xml:space="preserve">, en adelante la empresa.</w:t>
      </w:r>
    </w:p>
    <w:p>
      <w:r>
        <w:t xml:space="preserve">Forma parte del contrato. Su cumplimiento no sustituye las obligaciones que el contratista tiene como patrón de su personal.</w:t>
      </w:r>
    </w:p>
    <w:p>
      <w:pPr>
        <w:pStyle w:val="Heading1"/>
      </w:pPr>
      <w:r>
        <w:t xml:space="preserve">2. Alcance</w:t>
      </w:r>
    </w:p>
    <w:p>
      <w:r>
        <w:t xml:space="preserve">Aplica a todo contratista, proveedor de servicios especializados o de obras especializadas y subcontratista que ingrese a </w:t>
      </w:r>
      <w:r>
        <w:rPr>
          <w:b/>
          <w:bCs/>
        </w:rPr>
        <w:t xml:space="preserve">[nombre de la planta]</w:t>
      </w:r>
      <w:r>
        <w:t xml:space="preserve">, a su personal y a sus vehículos, maquinaria y equipos.</w:t>
      </w:r>
    </w:p>
    <w:p>
      <w:r>
        <w:t xml:space="preserve">El contratista responde por sus subcontratistas, que quedan sujetos a este reglamento en los mismos términos.</w:t>
      </w:r>
    </w:p>
    <w:p>
      <w:pPr>
        <w:pStyle w:val="Heading1"/>
      </w:pPr>
      <w:r>
        <w:t xml:space="preserve">3. Definiciones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891"/>
        <w:gridCol w:w="6746"/>
      </w:tblGrid>
      <w:tr>
        <w:trPr>
          <w:cantSplit/>
          <w:tblHeader/>
        </w:trPr>
        <w:tc>
          <w:tcPr>
            <w:tcW w:w="289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Término</w:t>
            </w:r>
          </w:p>
        </w:tc>
        <w:tc>
          <w:tcPr>
            <w:tcW w:w="674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Significado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Cell"/>
            </w:pPr>
            <w:r>
              <w:t xml:space="preserve">Contratista</w:t>
            </w:r>
          </w:p>
        </w:tc>
        <w:tc>
          <w:tcPr>
            <w:tcW w:w="6746" w:type="dxa"/>
          </w:tcPr>
          <w:p>
            <w:pPr>
              <w:pStyle w:val="Cell"/>
            </w:pPr>
            <w:r>
              <w:t xml:space="preserve">La persona física o moral que presta un servicio o ejecuta una obra para la empresa con su propio personal.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Cell"/>
            </w:pPr>
            <w:r>
              <w:t xml:space="preserve">Responsable del contrato</w:t>
            </w:r>
          </w:p>
        </w:tc>
        <w:tc>
          <w:tcPr>
            <w:tcW w:w="6746" w:type="dxa"/>
          </w:tcPr>
          <w:p>
            <w:pPr>
              <w:pStyle w:val="Cell"/>
            </w:pPr>
            <w:r>
              <w:t xml:space="preserve">La persona de la empresa que solicitó el servicio y que coordina con el contratista.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Cell"/>
            </w:pPr>
            <w:r>
              <w:t xml:space="preserve">Supervisor del contratista</w:t>
            </w:r>
          </w:p>
        </w:tc>
        <w:tc>
          <w:tcPr>
            <w:tcW w:w="6746" w:type="dxa"/>
          </w:tcPr>
          <w:p>
            <w:pPr>
              <w:pStyle w:val="Cell"/>
            </w:pPr>
            <w:r>
              <w:t xml:space="preserve">La persona que el contratista designa para dirigir a su personal y responder por la seguridad del trabajo.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Cell"/>
            </w:pPr>
            <w:r>
              <w:t xml:space="preserve">Seguridad e higiene</w:t>
            </w:r>
          </w:p>
        </w:tc>
        <w:tc>
          <w:tcPr>
            <w:tcW w:w="6746" w:type="dxa"/>
          </w:tcPr>
          <w:p>
            <w:pPr>
              <w:pStyle w:val="Cell"/>
            </w:pPr>
            <w:r>
              <w:t xml:space="preserve">El área de la empresa que autoriza los permisos de trabajo y verifica el cumplimiento de este reglamento.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Cell"/>
            </w:pPr>
            <w:r>
              <w:t xml:space="preserve">Caseta</w:t>
            </w:r>
          </w:p>
        </w:tc>
        <w:tc>
          <w:tcPr>
            <w:tcW w:w="6746" w:type="dxa"/>
          </w:tcPr>
          <w:p>
            <w:pPr>
              <w:pStyle w:val="Cell"/>
            </w:pPr>
            <w:r>
              <w:t xml:space="preserve">El punto de acceso a la planta, a cargo del personal de vigilancia.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Cell"/>
            </w:pPr>
            <w:r>
              <w:t xml:space="preserve">Permiso de trabajo</w:t>
            </w:r>
          </w:p>
        </w:tc>
        <w:tc>
          <w:tcPr>
            <w:tcW w:w="6746" w:type="dxa"/>
          </w:tcPr>
          <w:p>
            <w:pPr>
              <w:pStyle w:val="Cell"/>
            </w:pPr>
            <w:r>
              <w:t xml:space="preserve">La autorización escrita para ejecutar un trabajo peligroso en un lugar y un horario determinados.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4. Responsabilidades</w:t>
      </w:r>
    </w:p>
    <w:p>
      <w:pPr>
        <w:pStyle w:val="Heading2"/>
      </w:pPr>
      <w:r>
        <w:t xml:space="preserve">4.1 Del contratista</w:t>
      </w:r>
    </w:p>
    <w:p>
      <w:pPr>
        <w:numPr>
          <w:ilvl w:val="0"/>
          <w:numId w:val="1"/>
        </w:numPr>
      </w:pPr>
      <w:r>
        <w:t xml:space="preserve">Cumplir como patrón con las obligaciones laborales y de seguridad social de su personal.</w:t>
      </w:r>
    </w:p>
    <w:p>
      <w:pPr>
        <w:numPr>
          <w:ilvl w:val="0"/>
          <w:numId w:val="1"/>
        </w:numPr>
      </w:pPr>
      <w:r>
        <w:t xml:space="preserve">Designar a un supervisor que permanezca en la planta mientras su personal trabaja. Las instrucciones de trabajo al personal del contratista las da su supervisor.</w:t>
      </w:r>
    </w:p>
    <w:p>
      <w:pPr>
        <w:numPr>
          <w:ilvl w:val="0"/>
          <w:numId w:val="1"/>
        </w:numPr>
      </w:pPr>
      <w:r>
        <w:t xml:space="preserve">Entregar la documentación que este reglamento pide, antes del ingreso y cada vez que cambie.</w:t>
      </w:r>
    </w:p>
    <w:p>
      <w:pPr>
        <w:numPr>
          <w:ilvl w:val="0"/>
          <w:numId w:val="1"/>
        </w:numPr>
      </w:pPr>
      <w:r>
        <w:t xml:space="preserve">Proporcionar a su personal el equipo de protección personal, las herramientas y la capacitación que su tarea requiere.</w:t>
      </w:r>
    </w:p>
    <w:p>
      <w:pPr>
        <w:numPr>
          <w:ilvl w:val="0"/>
          <w:numId w:val="1"/>
        </w:numPr>
      </w:pPr>
      <w:r>
        <w:t xml:space="preserve">Identificar a su personal con un gafete que muestre su imagen, su nombre y el nombre del contratista.</w:t>
      </w:r>
    </w:p>
    <w:p>
      <w:pPr>
        <w:pStyle w:val="Heading2"/>
      </w:pPr>
      <w:r>
        <w:t xml:space="preserve">4.2 Del responsable del contrato</w:t>
      </w:r>
    </w:p>
    <w:p>
      <w:pPr>
        <w:numPr>
          <w:ilvl w:val="0"/>
          <w:numId w:val="1"/>
        </w:numPr>
      </w:pPr>
      <w:r>
        <w:t xml:space="preserve">Entregar este reglamento al contratista antes de la firma del contrato.</w:t>
      </w:r>
    </w:p>
    <w:p>
      <w:pPr>
        <w:numPr>
          <w:ilvl w:val="0"/>
          <w:numId w:val="1"/>
        </w:numPr>
      </w:pPr>
      <w:r>
        <w:t xml:space="preserve">Informar al contratista los riesgos del área donde va a trabajar.</w:t>
      </w:r>
    </w:p>
    <w:p>
      <w:pPr>
        <w:numPr>
          <w:ilvl w:val="0"/>
          <w:numId w:val="1"/>
        </w:numPr>
      </w:pPr>
      <w:r>
        <w:t xml:space="preserve">Coordinar con seguridad e higiene los permisos de trabajo.</w:t>
      </w:r>
    </w:p>
    <w:p>
      <w:pPr>
        <w:pStyle w:val="Heading2"/>
      </w:pPr>
      <w:r>
        <w:t xml:space="preserve">4.3 De seguridad e higiene</w:t>
      </w:r>
    </w:p>
    <w:p>
      <w:pPr>
        <w:numPr>
          <w:ilvl w:val="0"/>
          <w:numId w:val="1"/>
        </w:numPr>
      </w:pPr>
      <w:r>
        <w:t xml:space="preserve">Impartir o validar la inducción de seguridad de la planta.</w:t>
      </w:r>
    </w:p>
    <w:p>
      <w:pPr>
        <w:numPr>
          <w:ilvl w:val="0"/>
          <w:numId w:val="1"/>
        </w:numPr>
      </w:pPr>
      <w:r>
        <w:t xml:space="preserve">Autorizar los permisos de trabajo y verificar las condiciones en el lugar.</w:t>
      </w:r>
    </w:p>
    <w:p>
      <w:pPr>
        <w:numPr>
          <w:ilvl w:val="0"/>
          <w:numId w:val="1"/>
        </w:numPr>
      </w:pPr>
      <w:r>
        <w:t xml:space="preserve">Detener cualquier trabajo que ponga en riesgo a las personas o a las instalaciones.</w:t>
      </w:r>
    </w:p>
    <w:p>
      <w:pPr>
        <w:pStyle w:val="Heading2"/>
      </w:pPr>
      <w:r>
        <w:t xml:space="preserve">4.4 Del personal de vigilancia</w:t>
      </w:r>
    </w:p>
    <w:p>
      <w:pPr>
        <w:numPr>
          <w:ilvl w:val="0"/>
          <w:numId w:val="1"/>
        </w:numPr>
      </w:pPr>
      <w:r>
        <w:t xml:space="preserve">Verificar la identidad de cada persona y que esté autorizada para ingresar ese día.</w:t>
      </w:r>
    </w:p>
    <w:p>
      <w:pPr>
        <w:numPr>
          <w:ilvl w:val="0"/>
          <w:numId w:val="1"/>
        </w:numPr>
      </w:pPr>
      <w:r>
        <w:t xml:space="preserve">Anotar cada entrada y cada salida en la bitácora de accesos.</w:t>
      </w:r>
    </w:p>
    <w:p>
      <w:pPr>
        <w:numPr>
          <w:ilvl w:val="0"/>
          <w:numId w:val="1"/>
        </w:numPr>
      </w:pPr>
      <w:r>
        <w:t xml:space="preserve">Negar el ingreso a quien no esté autorizado e informarle qué le falta.</w:t>
      </w:r>
    </w:p>
    <w:p>
      <w:pPr>
        <w:pStyle w:val="Heading1"/>
      </w:pPr>
      <w:r>
        <w:t xml:space="preserve">5. Requisitos antes de ingresar</w:t>
      </w:r>
    </w:p>
    <w:p>
      <w:r>
        <w:t xml:space="preserve">El contratista entrega, con al menos </w:t>
      </w:r>
      <w:r>
        <w:rPr>
          <w:b/>
          <w:bCs/>
        </w:rPr>
        <w:t xml:space="preserve">[3]</w:t>
      </w:r>
      <w:r>
        <w:t xml:space="preserve"> días hábiles de anticipación al primer ingreso, la documentación que la empresa le indicó en el formato de requisitos de ingreso. Sin esa documentación aprobada, el personal no ingresa.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698"/>
        <w:gridCol w:w="6939"/>
      </w:tblGrid>
      <w:tr>
        <w:trPr>
          <w:cantSplit/>
          <w:tblHeader/>
        </w:trPr>
        <w:tc>
          <w:tcPr>
            <w:tcW w:w="269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De quién</w:t>
            </w:r>
          </w:p>
        </w:tc>
        <w:tc>
          <w:tcPr>
            <w:tcW w:w="693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Qué se entrega</w:t>
            </w:r>
          </w:p>
        </w:tc>
      </w:tr>
      <w:tr>
        <w:trPr>
          <w:cantSplit/>
        </w:trPr>
        <w:tc>
          <w:tcPr>
            <w:tcW w:w="2698" w:type="dxa"/>
          </w:tcPr>
          <w:p>
            <w:pPr>
              <w:pStyle w:val="Cell"/>
            </w:pPr>
            <w:r>
              <w:t xml:space="preserve">Del contratista</w:t>
            </w:r>
          </w:p>
        </w:tc>
        <w:tc>
          <w:tcPr>
            <w:tcW w:w="6939" w:type="dxa"/>
          </w:tcPr>
          <w:p>
            <w:pPr>
              <w:pStyle w:val="Cell"/>
            </w:pPr>
            <w:r>
              <w:t xml:space="preserve">Contrato vigente, aviso de registro en el REPSE cuando presta servicios especializados u obras especializadas, y este reglamento firmado.</w:t>
            </w:r>
          </w:p>
        </w:tc>
      </w:tr>
      <w:tr>
        <w:trPr>
          <w:cantSplit/>
        </w:trPr>
        <w:tc>
          <w:tcPr>
            <w:tcW w:w="2698" w:type="dxa"/>
          </w:tcPr>
          <w:p>
            <w:pPr>
              <w:pStyle w:val="Cell"/>
            </w:pPr>
            <w:r>
              <w:t xml:space="preserve">De cada trabajador</w:t>
            </w:r>
          </w:p>
        </w:tc>
        <w:tc>
          <w:tcPr>
            <w:tcW w:w="6939" w:type="dxa"/>
          </w:tcPr>
          <w:p>
            <w:pPr>
              <w:pStyle w:val="Cell"/>
            </w:pPr>
            <w:r>
              <w:t xml:space="preserve">Constancia de su inscripción en el IMSS por el contratista, inducción de la planta aprobada y constancias de competencias o de habilidades laborales (formato DC-3) de su tarea.</w:t>
            </w:r>
          </w:p>
        </w:tc>
      </w:tr>
      <w:tr>
        <w:trPr>
          <w:cantSplit/>
        </w:trPr>
        <w:tc>
          <w:tcPr>
            <w:tcW w:w="2698" w:type="dxa"/>
          </w:tcPr>
          <w:p>
            <w:pPr>
              <w:pStyle w:val="Cell"/>
            </w:pPr>
            <w:r>
              <w:t xml:space="preserve">De cada vehículo o equipo</w:t>
            </w:r>
          </w:p>
        </w:tc>
        <w:tc>
          <w:tcPr>
            <w:tcW w:w="6939" w:type="dxa"/>
          </w:tcPr>
          <w:p>
            <w:pPr>
              <w:pStyle w:val="Cell"/>
            </w:pPr>
            <w:r>
              <w:t xml:space="preserve">Póliza de seguro vigente, tarjeta de circulación y, en montacargas y equipos de izaje, su inspección vigente.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6. Ingreso y permanencia</w:t>
      </w:r>
    </w:p>
    <w:p>
      <w:pPr>
        <w:numPr>
          <w:ilvl w:val="0"/>
          <w:numId w:val="1"/>
        </w:numPr>
      </w:pPr>
      <w:r>
        <w:t xml:space="preserve">Toda persona ingresa y sale por la caseta, se identifica y porta su gafete en un lugar visible durante toda su permanencia.</w:t>
      </w:r>
    </w:p>
    <w:p>
      <w:pPr>
        <w:numPr>
          <w:ilvl w:val="0"/>
          <w:numId w:val="1"/>
        </w:numPr>
      </w:pPr>
      <w:r>
        <w:t xml:space="preserve">El ingreso es personal. Nadie ingresa con la identificación de otra persona.</w:t>
      </w:r>
    </w:p>
    <w:p>
      <w:pPr>
        <w:numPr>
          <w:ilvl w:val="0"/>
          <w:numId w:val="1"/>
        </w:numPr>
      </w:pPr>
      <w:r>
        <w:t xml:space="preserve">El personal del contratista permanece en el área asignada y usa las rutas peatonales señaladas.</w:t>
      </w:r>
    </w:p>
    <w:p>
      <w:pPr>
        <w:numPr>
          <w:ilvl w:val="0"/>
          <w:numId w:val="1"/>
        </w:numPr>
      </w:pPr>
      <w:r>
        <w:t xml:space="preserve">Los vehículos respetan el límite de </w:t>
      </w:r>
      <w:r>
        <w:rPr>
          <w:b/>
          <w:bCs/>
        </w:rPr>
        <w:t xml:space="preserve">[10]</w:t>
      </w:r>
      <w:r>
        <w:t xml:space="preserve"> km/h, se estacionan en reversa en los lugares asignados y ceden el paso al peatón.</w:t>
      </w:r>
    </w:p>
    <w:p>
      <w:pPr>
        <w:numPr>
          <w:ilvl w:val="0"/>
          <w:numId w:val="1"/>
        </w:numPr>
      </w:pPr>
      <w:r>
        <w:t xml:space="preserve">Las herramientas y los equipos que ingresan se declaran en la caseta y se revisan a la salida.</w:t>
      </w:r>
    </w:p>
    <w:p>
      <w:pPr>
        <w:numPr>
          <w:ilvl w:val="0"/>
          <w:numId w:val="1"/>
        </w:numPr>
      </w:pPr>
      <w:r>
        <w:t xml:space="preserve">El horario de trabajo es de </w:t>
      </w:r>
      <w:r>
        <w:rPr>
          <w:b/>
          <w:bCs/>
        </w:rPr>
        <w:t xml:space="preserve">[hora]</w:t>
      </w:r>
      <w:r>
        <w:t xml:space="preserve"> a </w:t>
      </w:r>
      <w:r>
        <w:rPr>
          <w:b/>
          <w:bCs/>
        </w:rPr>
        <w:t xml:space="preserve">[hora]</w:t>
      </w:r>
      <w:r>
        <w:t xml:space="preserve">. Fuera de ese horario se requiere autorización escrita del responsable del contrato.</w:t>
      </w:r>
    </w:p>
    <w:p>
      <w:pPr>
        <w:pStyle w:val="Heading1"/>
      </w:pPr>
      <w:r>
        <w:t xml:space="preserve">7. Inducción y capacitación</w:t>
      </w:r>
    </w:p>
    <w:p>
      <w:r>
        <w:t xml:space="preserve">Antes de su primer ingreso, cada trabajador aprueba la inducción de seguridad de la planta. La inducción tiene una vigencia de </w:t>
      </w:r>
      <w:r>
        <w:rPr>
          <w:b/>
          <w:bCs/>
        </w:rPr>
        <w:t xml:space="preserve">[12]</w:t>
      </w:r>
      <w:r>
        <w:t xml:space="preserve"> meses.</w:t>
      </w:r>
    </w:p>
    <w:p>
      <w:r>
        <w:t xml:space="preserve">El contratista acredita, con la constancia de competencias o de habilidades laborales (formato DC-3), la capacitación de cada trabajador para la tarea que va a ejecutar. Quien no la acredita no ejecuta esa tarea.</w:t>
      </w:r>
    </w:p>
    <w:p>
      <w:pPr>
        <w:pStyle w:val="Heading1"/>
      </w:pPr>
      <w:r>
        <w:t xml:space="preserve">8. Equipo de protección personal</w:t>
      </w:r>
    </w:p>
    <w:p>
      <w:r>
        <w:t xml:space="preserve">El contratista entrega a su personal el equipo de protección personal que su tarea requiere y verifica su uso y su estado, conforme a la NOM-017-STPS-2008.</w:t>
      </w:r>
    </w:p>
    <w:p>
      <w:r>
        <w:t xml:space="preserve">En toda la planta es obligatorio el uso de </w:t>
      </w:r>
      <w:r>
        <w:rPr>
          <w:b/>
          <w:bCs/>
        </w:rPr>
        <w:t xml:space="preserve">[casco, lentes de seguridad, calzado de seguridad y chaleco de alta visibilidad]</w:t>
      </w:r>
      <w:r>
        <w:t xml:space="preserve">. Cada área señala el equipo adicional.</w:t>
      </w:r>
    </w:p>
    <w:p>
      <w:pPr>
        <w:pStyle w:val="Heading1"/>
      </w:pPr>
      <w:r>
        <w:t xml:space="preserve">9. Trabajos peligrosos y permisos de trabajo</w:t>
      </w:r>
    </w:p>
    <w:p>
      <w:r>
        <w:t xml:space="preserve">Los trabajos de esta lista solo se ejecutan con un permiso de trabajo autorizado por seguridad e higiene, vigente para el lugar y el horario indicados. El permiso se solicita con </w:t>
      </w:r>
      <w:r>
        <w:rPr>
          <w:b/>
          <w:bCs/>
        </w:rPr>
        <w:t xml:space="preserve">[24]</w:t>
      </w:r>
      <w:r>
        <w:t xml:space="preserve"> horas de anticipación y se cierra al terminar.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300"/>
        <w:gridCol w:w="4337"/>
      </w:tblGrid>
      <w:tr>
        <w:trPr>
          <w:cantSplit/>
          <w:tblHeader/>
        </w:trPr>
        <w:tc>
          <w:tcPr>
            <w:tcW w:w="530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Trabajo</w:t>
            </w:r>
          </w:p>
        </w:tc>
        <w:tc>
          <w:tcPr>
            <w:tcW w:w="433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Norma de referencia</w:t>
            </w:r>
          </w:p>
        </w:tc>
      </w:tr>
      <w:tr>
        <w:trPr>
          <w:cantSplit/>
        </w:trPr>
        <w:tc>
          <w:tcPr>
            <w:tcW w:w="5300" w:type="dxa"/>
          </w:tcPr>
          <w:p>
            <w:pPr>
              <w:pStyle w:val="Cell"/>
            </w:pPr>
            <w:r>
              <w:t xml:space="preserve">Trabajos en altura</w:t>
            </w:r>
          </w:p>
        </w:tc>
        <w:tc>
          <w:tcPr>
            <w:tcW w:w="4337" w:type="dxa"/>
          </w:tcPr>
          <w:p>
            <w:pPr>
              <w:pStyle w:val="Cell"/>
            </w:pPr>
            <w:r>
              <w:t xml:space="preserve">NOM-009-STPS-2011</w:t>
            </w:r>
          </w:p>
        </w:tc>
      </w:tr>
      <w:tr>
        <w:trPr>
          <w:cantSplit/>
        </w:trPr>
        <w:tc>
          <w:tcPr>
            <w:tcW w:w="5300" w:type="dxa"/>
          </w:tcPr>
          <w:p>
            <w:pPr>
              <w:pStyle w:val="Cell"/>
            </w:pPr>
            <w:r>
              <w:t xml:space="preserve">Soldadura y corte</w:t>
            </w:r>
          </w:p>
        </w:tc>
        <w:tc>
          <w:tcPr>
            <w:tcW w:w="4337" w:type="dxa"/>
          </w:tcPr>
          <w:p>
            <w:pPr>
              <w:pStyle w:val="Cell"/>
            </w:pPr>
            <w:r>
              <w:t xml:space="preserve">NOM-027-STPS-2008</w:t>
            </w:r>
          </w:p>
        </w:tc>
      </w:tr>
      <w:tr>
        <w:trPr>
          <w:cantSplit/>
        </w:trPr>
        <w:tc>
          <w:tcPr>
            <w:tcW w:w="5300" w:type="dxa"/>
          </w:tcPr>
          <w:p>
            <w:pPr>
              <w:pStyle w:val="Cell"/>
            </w:pPr>
            <w:r>
              <w:t xml:space="preserve">Trabajos en espacios confinados</w:t>
            </w:r>
          </w:p>
        </w:tc>
        <w:tc>
          <w:tcPr>
            <w:tcW w:w="4337" w:type="dxa"/>
          </w:tcPr>
          <w:p>
            <w:pPr>
              <w:pStyle w:val="Cell"/>
            </w:pPr>
            <w:r>
              <w:t xml:space="preserve">NOM-033-STPS-2015</w:t>
            </w:r>
          </w:p>
        </w:tc>
      </w:tr>
      <w:tr>
        <w:trPr>
          <w:cantSplit/>
        </w:trPr>
        <w:tc>
          <w:tcPr>
            <w:tcW w:w="5300" w:type="dxa"/>
          </w:tcPr>
          <w:p>
            <w:pPr>
              <w:pStyle w:val="Cell"/>
            </w:pPr>
            <w:r>
              <w:t xml:space="preserve">Mantenimiento de instalaciones eléctricas</w:t>
            </w:r>
          </w:p>
        </w:tc>
        <w:tc>
          <w:tcPr>
            <w:tcW w:w="4337" w:type="dxa"/>
          </w:tcPr>
          <w:p>
            <w:pPr>
              <w:pStyle w:val="Cell"/>
            </w:pPr>
            <w:r>
              <w:t xml:space="preserve">NOM-029-STPS-2011</w:t>
            </w:r>
          </w:p>
        </w:tc>
      </w:tr>
      <w:tr>
        <w:trPr>
          <w:cantSplit/>
        </w:trPr>
        <w:tc>
          <w:tcPr>
            <w:tcW w:w="5300" w:type="dxa"/>
          </w:tcPr>
          <w:p>
            <w:pPr>
              <w:pStyle w:val="Cell"/>
            </w:pPr>
            <w:r>
              <w:t xml:space="preserve">Excavaciones</w:t>
            </w:r>
          </w:p>
        </w:tc>
        <w:tc>
          <w:tcPr>
            <w:tcW w:w="4337" w:type="dxa"/>
          </w:tcPr>
          <w:p>
            <w:pPr>
              <w:pStyle w:val="Cell"/>
            </w:pPr>
            <w:r>
              <w:t xml:space="preserve">[norma o procedimiento de la empresa]</w:t>
            </w:r>
          </w:p>
        </w:tc>
      </w:tr>
      <w:tr>
        <w:trPr>
          <w:cantSplit/>
        </w:trPr>
        <w:tc>
          <w:tcPr>
            <w:tcW w:w="5300" w:type="dxa"/>
          </w:tcPr>
          <w:p>
            <w:pPr>
              <w:pStyle w:val="Cell"/>
            </w:pPr>
            <w:r>
              <w:t xml:space="preserve">Izaje de cargas</w:t>
            </w:r>
          </w:p>
        </w:tc>
        <w:tc>
          <w:tcPr>
            <w:tcW w:w="4337" w:type="dxa"/>
          </w:tcPr>
          <w:p>
            <w:pPr>
              <w:pStyle w:val="Cell"/>
            </w:pPr>
            <w:r>
              <w:t xml:space="preserve">[norma o procedimiento de la empresa]</w:t>
            </w:r>
          </w:p>
        </w:tc>
      </w:tr>
      <w:tr>
        <w:trPr>
          <w:cantSplit/>
        </w:trPr>
        <w:tc>
          <w:tcPr>
            <w:tcW w:w="5300" w:type="dxa"/>
          </w:tcPr>
          <w:p>
            <w:pPr>
              <w:pStyle w:val="Cell"/>
            </w:pPr>
            <w:r>
              <w:t xml:space="preserve">[Otro trabajo que la empresa defina]</w:t>
            </w:r>
          </w:p>
        </w:tc>
        <w:tc>
          <w:tcPr>
            <w:tcW w:w="4337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r>
        <w:t xml:space="preserve">Antes de intervenir una máquina o un equipo, se bloquea y se etiqueta su fuente de energía. Nadie retira el candado o la etiqueta de otra persona.</w:t>
      </w:r>
    </w:p>
    <w:p>
      <w:pPr>
        <w:pStyle w:val="Heading1"/>
      </w:pPr>
      <w:r>
        <w:t xml:space="preserve">10. Maquinaria, vehículos y montacargas</w:t>
      </w:r>
    </w:p>
    <w:p>
      <w:pPr>
        <w:numPr>
          <w:ilvl w:val="0"/>
          <w:numId w:val="1"/>
        </w:numPr>
      </w:pPr>
      <w:r>
        <w:t xml:space="preserve">Solo opera un montacargas, una grúa o una plataforma de elevación quien tiene la constancia vigente para ese equipo.</w:t>
      </w:r>
    </w:p>
    <w:p>
      <w:pPr>
        <w:numPr>
          <w:ilvl w:val="0"/>
          <w:numId w:val="1"/>
        </w:numPr>
      </w:pPr>
      <w:r>
        <w:t xml:space="preserve">Cada equipo se revisa antes de usarlo. Un equipo con una falla se retira del servicio y se identifica como fuera de uso.</w:t>
      </w:r>
    </w:p>
    <w:p>
      <w:pPr>
        <w:numPr>
          <w:ilvl w:val="0"/>
          <w:numId w:val="1"/>
        </w:numPr>
      </w:pPr>
      <w:r>
        <w:t xml:space="preserve">Las guardas y los dispositivos de seguridad de la maquinaria no se retiran ni se anulan.</w:t>
      </w:r>
    </w:p>
    <w:p>
      <w:pPr>
        <w:numPr>
          <w:ilvl w:val="0"/>
          <w:numId w:val="1"/>
        </w:numPr>
      </w:pPr>
      <w:r>
        <w:t xml:space="preserve">Nadie viaja en un equipo que no tiene asiento para pasajeros.</w:t>
      </w:r>
    </w:p>
    <w:p>
      <w:pPr>
        <w:pStyle w:val="Heading1"/>
      </w:pPr>
      <w:r>
        <w:t xml:space="preserve">11. Orden, limpieza, sustancias y residuos</w:t>
      </w:r>
    </w:p>
    <w:p>
      <w:pPr>
        <w:numPr>
          <w:ilvl w:val="0"/>
          <w:numId w:val="1"/>
        </w:numPr>
      </w:pPr>
      <w:r>
        <w:t xml:space="preserve">El área de trabajo se delimita, se señaliza y se deja limpia y ordenada al terminar cada jornada.</w:t>
      </w:r>
    </w:p>
    <w:p>
      <w:pPr>
        <w:numPr>
          <w:ilvl w:val="0"/>
          <w:numId w:val="1"/>
        </w:numPr>
      </w:pPr>
      <w:r>
        <w:t xml:space="preserve">Toda sustancia química que ingresa se declara a seguridad e higiene, con su hoja de datos de seguridad, y se guarda en su envase identificado.</w:t>
      </w:r>
    </w:p>
    <w:p>
      <w:pPr>
        <w:numPr>
          <w:ilvl w:val="0"/>
          <w:numId w:val="1"/>
        </w:numPr>
      </w:pPr>
      <w:r>
        <w:t xml:space="preserve">Los residuos se separan y se depositan donde la empresa indica. El contratista retira los residuos que su trabajo genera, salvo acuerdo escrito.</w:t>
      </w:r>
    </w:p>
    <w:p>
      <w:pPr>
        <w:pStyle w:val="Heading1"/>
      </w:pPr>
      <w:r>
        <w:t xml:space="preserve">12. Emergencias</w:t>
      </w:r>
    </w:p>
    <w:p>
      <w:r>
        <w:t xml:space="preserve">Al sonar la alarma, todo el personal del contratista detiene su trabajo, deja el equipo en condición segura y se dirige al punto de reunión por la ruta de evacuación señalada. El supervisor del contratista pasa lista a su personal y reporta a quien dirige la emergencia.</w:t>
      </w:r>
    </w:p>
    <w:p>
      <w:r>
        <w:t xml:space="preserve">Los extintores, los hidrantes y las salidas de emergencia no se obstruyen. El uso de un extintor se reporta de inmediato para su recarga. La empresa mantiene su protección contra incendios conforme a la NOM-002-STPS-2010.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Teléfono de emergencias de la planta: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Punto de reunión: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13. Incidentes y accidentes</w:t>
      </w:r>
    </w:p>
    <w:p>
      <w:r>
        <w:t xml:space="preserve">Todo accidente, incidente o condición insegura se reporta de inmediato al responsable del contrato y a seguridad e higiene, aunque no haya lesionados.</w:t>
      </w:r>
    </w:p>
    <w:p>
      <w:r>
        <w:t xml:space="preserve">El contratista atiende a su trabajador lesionado, da los avisos que le corresponden como patrón y entrega a la empresa, en un plazo de </w:t>
      </w:r>
      <w:r>
        <w:rPr>
          <w:b/>
          <w:bCs/>
        </w:rPr>
        <w:t xml:space="preserve">[3]</w:t>
      </w:r>
      <w:r>
        <w:t xml:space="preserve"> días hábiles, la investigación del accidente con sus causas y las medidas que tomó.</w:t>
      </w:r>
    </w:p>
    <w:p>
      <w:pPr>
        <w:pStyle w:val="Heading1"/>
      </w:pPr>
      <w:r>
        <w:t xml:space="preserve">14. Conductas prohibidas</w:t>
      </w:r>
    </w:p>
    <w:p>
      <w:pPr>
        <w:numPr>
          <w:ilvl w:val="0"/>
          <w:numId w:val="1"/>
        </w:numPr>
      </w:pPr>
      <w:r>
        <w:t xml:space="preserve">Ingresar o trabajar bajo los efectos del alcohol o de drogas.</w:t>
      </w:r>
    </w:p>
    <w:p>
      <w:pPr>
        <w:numPr>
          <w:ilvl w:val="0"/>
          <w:numId w:val="1"/>
        </w:numPr>
      </w:pPr>
      <w:r>
        <w:t xml:space="preserve">Fumar o encender fuego fuera de las áreas autorizadas.</w:t>
      </w:r>
    </w:p>
    <w:p>
      <w:pPr>
        <w:numPr>
          <w:ilvl w:val="0"/>
          <w:numId w:val="1"/>
        </w:numPr>
      </w:pPr>
      <w:r>
        <w:t xml:space="preserve">Operar equipos o maquinaria de la empresa sin autorización escrita.</w:t>
      </w:r>
    </w:p>
    <w:p>
      <w:pPr>
        <w:numPr>
          <w:ilvl w:val="0"/>
          <w:numId w:val="1"/>
        </w:numPr>
      </w:pPr>
      <w:r>
        <w:t xml:space="preserve">Retirar o anular guardas, bloqueos, etiquetas o dispositivos de seguridad.</w:t>
      </w:r>
    </w:p>
    <w:p>
      <w:pPr>
        <w:numPr>
          <w:ilvl w:val="0"/>
          <w:numId w:val="1"/>
        </w:numPr>
      </w:pPr>
      <w:r>
        <w:t xml:space="preserve">Ingresar a áreas distintas de la asignada.</w:t>
      </w:r>
    </w:p>
    <w:p>
      <w:pPr>
        <w:numPr>
          <w:ilvl w:val="0"/>
          <w:numId w:val="1"/>
        </w:numPr>
      </w:pPr>
      <w:r>
        <w:t xml:space="preserve">Tomar fotografías o video sin autorización.</w:t>
      </w:r>
    </w:p>
    <w:p>
      <w:pPr>
        <w:pStyle w:val="Heading1"/>
      </w:pPr>
      <w:r>
        <w:t xml:space="preserve">15. Incumplimientos</w:t>
      </w:r>
    </w:p>
    <w:p>
      <w:r>
        <w:t xml:space="preserve">La empresa puede detener un trabajo, retirar de la planta a una persona o suspender el ingreso del contratista cuando se incumple este reglamento. Cada incumplimiento se anota en el registro del anexo 3.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4819"/>
        <w:gridCol w:w="4819"/>
      </w:tblGrid>
      <w:tr>
        <w:trPr>
          <w:cantSplit/>
          <w:tblHeader/>
        </w:trPr>
        <w:tc>
          <w:tcPr>
            <w:tcW w:w="481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Incumplimiento</w:t>
            </w:r>
          </w:p>
        </w:tc>
        <w:tc>
          <w:tcPr>
            <w:tcW w:w="481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Consecuencia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Cell"/>
            </w:pPr>
            <w:r>
              <w:t xml:space="preserve">Leve: falta de orden, gafete no visible</w:t>
            </w:r>
          </w:p>
        </w:tc>
        <w:tc>
          <w:tcPr>
            <w:tcW w:w="4819" w:type="dxa"/>
          </w:tcPr>
          <w:p>
            <w:pPr>
              <w:pStyle w:val="Cell"/>
            </w:pPr>
            <w:r>
              <w:t xml:space="preserve">Aviso verbal al supervisor del contratista y corrección en el momento.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Cell"/>
            </w:pPr>
            <w:r>
              <w:t xml:space="preserve">Grave: no usar el equipo de protección personal, trabajar sin el permiso vigente</w:t>
            </w:r>
          </w:p>
        </w:tc>
        <w:tc>
          <w:tcPr>
            <w:tcW w:w="4819" w:type="dxa"/>
          </w:tcPr>
          <w:p>
            <w:pPr>
              <w:pStyle w:val="Cell"/>
            </w:pPr>
            <w:r>
              <w:t xml:space="preserve">Se detiene el trabajo y se avisa por escrito al contratista. La persona vuelve a ingresar [cuando aprueba otra vez la inducción].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Cell"/>
            </w:pPr>
            <w:r>
              <w:t xml:space="preserve">Muy grave: una conducta prohibida, anular un bloqueo</w:t>
            </w:r>
          </w:p>
        </w:tc>
        <w:tc>
          <w:tcPr>
            <w:tcW w:w="4819" w:type="dxa"/>
          </w:tcPr>
          <w:p>
            <w:pPr>
              <w:pStyle w:val="Cell"/>
            </w:pPr>
            <w:r>
              <w:t xml:space="preserve">[La persona no vuelve a ingresar y la empresa evalúa la continuidad del contrato.]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16. Aceptación</w:t>
      </w:r>
    </w:p>
    <w:p>
      <w:r>
        <w:t xml:space="preserve">El contratista declara que recibió este reglamento, que lo dio a conocer a su personal y que lo cumplirá mientras dure el contrato. La firma del acuse del anexo 1 es un requisito para el primer ingreso.</w:t>
      </w:r>
    </w:p>
    <w:p>
      <w:pPr>
        <w:pStyle w:val="Heading1"/>
        <w:pageBreakBefore/>
      </w:pPr>
      <w:r>
        <w:t xml:space="preserve">Anexo 1. Acuse de recibo del reglamento</w:t>
      </w:r>
    </w:p>
    <w:p>
      <w:r>
        <w:t xml:space="preserve">Recibí el Reglamento de seguridad para contratistas de </w:t>
      </w:r>
      <w:r>
        <w:rPr>
          <w:b/>
          <w:bCs/>
        </w:rPr>
        <w:t xml:space="preserve">[Razón social de la empresa]</w:t>
      </w:r>
      <w:r>
        <w:t xml:space="preserve">, lo leí y me comprometo a cumplirlo y a darlo a conocer a todo el personal que ingrese por parte de mi empresa.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Contratista (razón social):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RFC: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Contrato o servicio: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Representante del contratista: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Supervisor designado: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Fecha:</w:t>
            </w: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Por el contratista (firma y nombre)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Por la empresa (firma y nombre)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Anexo 2. Personal del contratista que conoce el reglamento</w:t>
      </w:r>
    </w:p>
    <w:tbl>
      <w:tblPr>
        <w:tblW w:w="963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3084"/>
        <w:gridCol w:w="1734"/>
        <w:gridCol w:w="1927"/>
        <w:gridCol w:w="1156"/>
        <w:gridCol w:w="1734"/>
      </w:tblGrid>
      <w:tr>
        <w:trPr>
          <w:cantSplit/>
          <w:tblHeader/>
        </w:trPr>
        <w:tc>
          <w:tcPr>
            <w:tcW w:w="308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Nombre completo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NSS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Puesto</w:t>
            </w:r>
          </w:p>
        </w:tc>
        <w:tc>
          <w:tcPr>
            <w:tcW w:w="115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Fecha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Firma</w:t>
            </w:r>
          </w:p>
        </w:tc>
      </w:tr>
      <w:tr>
        <w:trPr>
          <w:cantSplit/>
          <w:trHeight w:val="567" w:hRule="atLeast"/>
        </w:trPr>
        <w:tc>
          <w:tcPr>
            <w:tcW w:w="3084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3084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3084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3084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3084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3084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3084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3084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3084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3084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3084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3084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3084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3084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Anexo 3. Registro de incumplimientos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1156"/>
        <w:gridCol w:w="2120"/>
        <w:gridCol w:w="2505"/>
        <w:gridCol w:w="2313"/>
        <w:gridCol w:w="1542"/>
      </w:tblGrid>
      <w:tr>
        <w:trPr>
          <w:cantSplit/>
          <w:tblHeader/>
        </w:trPr>
        <w:tc>
          <w:tcPr>
            <w:tcW w:w="115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Fecha</w:t>
            </w:r>
          </w:p>
        </w:tc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Persona</w:t>
            </w:r>
          </w:p>
        </w:tc>
        <w:tc>
          <w:tcPr>
            <w:tcW w:w="250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Incumplimiento</w:t>
            </w:r>
          </w:p>
        </w:tc>
        <w:tc>
          <w:tcPr>
            <w:tcW w:w="231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Medida tomada</w:t>
            </w:r>
          </w:p>
        </w:tc>
        <w:tc>
          <w:tcPr>
            <w:tcW w:w="154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Registró</w:t>
            </w:r>
          </w:p>
        </w:tc>
      </w:tr>
      <w:tr>
        <w:trPr>
          <w:cantSplit/>
          <w:trHeight w:val="567" w:hRule="atLeast"/>
        </w:trPr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auditans.com/mx/recursos/reglamento-de-seguridad-para-contratistas</w:t>
    </w:r>
  </w:p>
  <w:p>
    <w:pPr>
      <w:pStyle w:val="Footer"/>
    </w:pPr>
    <w:r>
      <w:t xml:space="preserve">Versión 1.0 · 12 de marzo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MX" w:eastAsia="es-MX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Reglamento de seguridad para contratistas</dc:title>
  <dc:creator>Auditans</dc:creator>
  <dc:language>es-MX</dc:language>
  <cp:version>1.0</cp:version>
  <dcterms:created xsi:type="dcterms:W3CDTF">2026-03-12T00:00:00Z</dcterms:created>
  <dcterms:modified xsi:type="dcterms:W3CDTF">2026-03-12T00:00:00Z</dcterms:modified>
</cp:coreProperties>
</file>