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Requisitos para empresas contratistas mineras</w:t>
      </w:r>
    </w:p>
    <w:p>
      <w:r>
        <w:t xml:space="preserve">Lista de </w:t>
      </w:r>
      <w:r>
        <w:rPr>
          <w:b/>
          <w:bCs/>
        </w:rPr>
        <w:t xml:space="preserve">[Razón social del titular minero]</w:t>
      </w:r>
      <w:r>
        <w:t xml:space="preserve"> para revisar a una empresa contratista antes de su primer ingreso a </w:t>
      </w:r>
      <w:r>
        <w:rPr>
          <w:b/>
          <w:bCs/>
        </w:rPr>
        <w:t xml:space="preserve">[nombre de la unidad minera]</w:t>
      </w:r>
      <w:r>
        <w:t xml:space="preserve"> y, después, una vez por mes. Marque cada punto con Sí, No o No aplica; todo lo que quede en No se anota en las observaciones, con su motivo y la fecha en que se corrige.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 contratista: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RUC: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Unidad minera: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Contrato o servicio: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Período revisado: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Revisó: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 de la revisión: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Primera parte: la empresa contratista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Ficha RUC: la razón social y el número coinciden con los del contrato, y el contribuyente figura activo y habido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Inscripción en el Registro de Empresas Contratistas Mineras, con la resolución de la Dirección General de Minería y las actividades para las que está inscrita</w:t>
              <w:br/>
              <w:t xml:space="preserve">No aplica si la empresa presta un servicio que no requiere esa inscripción.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contrato está firmado, vigente y cubre esta unidad minera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SCTR Salud y SCTR Pensión: pólizas o constancias vigentes, con la relación de asegurados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Seguro Vida Ley: póliza vigente, con la relación de asegurados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Reglamento Interno de Seguridad y Salud en el Trabajo y Programa Anual de Seguridad y Salud Ocupacional, si le corresponden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IPERC de las tareas del contrato y los PETS de las tareas que los requieren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Supervisor o responsable de seguridad designado para el contrato, con sus datos de contacto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Subcontratistas informados, cada uno con su propia lista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Segunda parte: cada trabajador que ingresa</w:t>
      </w:r>
    </w:p>
    <w:p>
      <w:pPr>
        <w:keepNext/>
      </w:pPr>
      <w:r>
        <w:rPr>
          <w:b/>
          <w:bCs/>
        </w:rPr>
        <w:t xml:space="preserve">10. Trabajadores revisados</w:t>
      </w:r>
      <w:r>
        <w:t xml:space="preserve"/>
        <w:br/>
        <w:t xml:space="preserve">Marque Sí, No o N/A en cada columna. Alta: constancia de alta en el T-Registro a nombre de la contratista. SCTR: figura en la relación de asegurados vigente. EMO: examen médico ocupacional vigente, con aptitud para el puesto. Anexo 4: inducción y orientación básica. Anexo 5: capacitación específica en el área de trabajo.</w:t>
      </w:r>
    </w:p>
    <w:tbl>
      <w:tblPr>
        <w:tblW w:w="9633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725"/>
        <w:gridCol w:w="1265"/>
        <w:gridCol w:w="973"/>
        <w:gridCol w:w="973"/>
        <w:gridCol w:w="973"/>
        <w:gridCol w:w="1362"/>
        <w:gridCol w:w="1362"/>
      </w:tblGrid>
      <w:tr>
        <w:trPr>
          <w:cantSplit/>
          <w:tblHeader/>
        </w:trPr>
        <w:tc>
          <w:tcPr>
            <w:tcW w:w="272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Apellidos y nombres</w:t>
            </w:r>
          </w:p>
        </w:tc>
        <w:tc>
          <w:tcPr>
            <w:tcW w:w="126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9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Alta</w:t>
            </w:r>
          </w:p>
        </w:tc>
        <w:tc>
          <w:tcPr>
            <w:tcW w:w="9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SCTR</w:t>
            </w:r>
          </w:p>
        </w:tc>
        <w:tc>
          <w:tcPr>
            <w:tcW w:w="9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EMO</w:t>
            </w:r>
          </w:p>
        </w:tc>
        <w:tc>
          <w:tcPr>
            <w:tcW w:w="13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Anexo 4</w:t>
            </w:r>
          </w:p>
        </w:tc>
        <w:tc>
          <w:tcPr>
            <w:tcW w:w="13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Anexo 5</w:t>
            </w: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725" w:type="dxa"/>
          </w:tcPr>
          <w:p>
            <w:pPr>
              <w:pStyle w:val="Cell"/>
            </w:pPr>
          </w:p>
        </w:tc>
        <w:tc>
          <w:tcPr>
            <w:tcW w:w="1265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973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  <w:tc>
          <w:tcPr>
            <w:tcW w:w="1362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El trabajador figura en la relación de asegurados del seguro Vida Ley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entrega de equipo de protección personal firmada por cada trabajador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Constancias de los cursos de capacitación que su puesto y sus tareas requieren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Se pidió por persona, sin constancias colectivas que digan que todo el personal está capacitado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Tercera parte: vehículos y equipos</w:t>
      </w:r>
    </w:p>
    <w:p>
      <w:pPr>
        <w:keepNext/>
      </w:pPr>
      <w:r>
        <w:rPr>
          <w:b/>
          <w:bCs/>
        </w:rPr>
        <w:t xml:space="preserve">15. Vehículos y equipos revisados</w:t>
      </w:r>
      <w:r>
        <w:t xml:space="preserve"/>
        <w:br/>
        <w:t xml:space="preserve">SOAT: vigente, con la placa igual a la registrada. Inspección: certificado de inspección técnica vehicular vigente, cuando corresponde. Tarjeta: tarjeta de identificación vehicular. La licencia de quien conduce se revisa en el punto siguiente.</w:t>
      </w: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2120"/>
        <w:gridCol w:w="2313"/>
        <w:gridCol w:w="1542"/>
        <w:gridCol w:w="1734"/>
        <w:gridCol w:w="1927"/>
      </w:tblGrid>
      <w:tr>
        <w:trPr>
          <w:cantSplit/>
          <w:tblHeader/>
        </w:trPr>
        <w:tc>
          <w:tcPr>
            <w:tcW w:w="2120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Tipo</w:t>
            </w:r>
          </w:p>
        </w:tc>
        <w:tc>
          <w:tcPr>
            <w:tcW w:w="231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Placa o serie</w:t>
            </w:r>
          </w:p>
        </w:tc>
        <w:tc>
          <w:tcPr>
            <w:tcW w:w="154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Tarjeta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SOAT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Inspección</w:t>
            </w: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2120" w:type="dxa"/>
          </w:tcPr>
          <w:p>
            <w:pPr>
              <w:pStyle w:val="Cell"/>
            </w:pPr>
          </w:p>
        </w:tc>
        <w:tc>
          <w:tcPr>
            <w:tcW w:w="2313" w:type="dxa"/>
          </w:tcPr>
          <w:p>
            <w:pPr>
              <w:pStyle w:val="Cell"/>
            </w:pPr>
          </w:p>
        </w:tc>
        <w:tc>
          <w:tcPr>
            <w:tcW w:w="1542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conduce tiene licencia de conducir vigente, de la categoría del vehículo, y la autorización interna de la unidad si se exige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  <w:pageBreakBefore/>
      </w:pPr>
      <w:r>
        <w:t xml:space="preserve">Cuarta parte: el control del mes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PLAME (PDT 601) del período anterior, con la constancia de presentación a nombre de la contratista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Constancia de pago de los tributos y aportes declarados en el PLAME, por el importe y el período correctos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19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persona que ingresó a la unidad en el mes figura en el detalle de trabajadores del PLAME, buscada una por una por su DNI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  <w:br/>
              <w:t xml:space="preserve">Observaciones: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20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Boletas de pago de quienes trabajaron en la unidad, con la constancia de depósito de la remuneración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21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Planilla de aportes de AFP del período y su constancia de pago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22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SCTR y seguro Vida Ley vigentes durante todo el mes, con las personas nuevas incluidas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23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Si la contratista no trabajó en la unidad este mes, quedó registrado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Quinta parte: la garita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24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Todo lo que es obligatorio para ingresar está aprobado antes del primer día de cada persona y de cada vehículo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25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Quien tiene un requisito obligatorio vencido o faltante no ingresa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26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Cada entrada y cada salida de la contratista quedó registrada, con su hora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</w:t>
            </w:r>
          </w:p>
        </w:tc>
      </w:tr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27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Las excepciones al ingreso del mes constan por escrito, con su motivo, lo que faltaba ese día y quién las autorizó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pStyle w:val="Heading1"/>
      </w:pPr>
      <w:r>
        <w:t xml:space="preserve">Cierre de la revisión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78"/>
        <w:gridCol w:w="5204"/>
        <w:gridCol w:w="3855"/>
      </w:tblGrid>
      <w:tr>
        <w:trPr>
          <w:cantSplit/>
        </w:trPr>
        <w:tc>
          <w:tcPr>
            <w:tcW w:w="578" w:type="dxa"/>
          </w:tcPr>
          <w:p>
            <w:pPr>
              <w:pStyle w:val="Cell"/>
            </w:pPr>
            <w:r>
              <w:t xml:space="preserve">28</w:t>
            </w:r>
          </w:p>
        </w:tc>
        <w:tc>
          <w:tcPr>
            <w:tcW w:w="5204" w:type="dxa"/>
          </w:tcPr>
          <w:p>
            <w:pPr>
              <w:pStyle w:val="Cell"/>
            </w:pPr>
            <w:r>
              <w:t xml:space="preserve">Lo que quedó en No se comunicó a la contratista por escrito, con el detalle de qué corregir</w:t>
            </w:r>
          </w:p>
        </w:tc>
        <w:tc>
          <w:tcPr>
            <w:tcW w:w="3855" w:type="dxa"/>
          </w:tcPr>
          <w:p>
            <w:pPr>
              <w:pStyle w:val="Cell"/>
            </w:pPr>
            <w:r>
              <w:t xml:space="preserve">○ Sí  ○ No  ○ No aplica</w:t>
            </w:r>
          </w:p>
        </w:tc>
      </w:tr>
    </w:tbl>
    <w:p>
      <w:pPr>
        <w:spacing w:before="0" w:after="0" w:line="120" w:lineRule="exact"/>
      </w:pPr>
    </w:p>
    <w:p>
      <w:pPr>
        <w:keepNext/>
      </w:pPr>
      <w:r>
        <w:rPr>
          <w:b/>
          <w:bCs/>
        </w:rPr>
        <w:t xml:space="preserve">29. Observaciones y fecha de corrección de cada No (opcional)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9638"/>
      </w:tblGrid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  <w:tr>
        <w:trPr>
          <w:cantSplit/>
          <w:trHeight w:val="454" w:hRule="atLeast"/>
        </w:trPr>
        <w:tc>
          <w:tcPr>
            <w:tcW w:w="9638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Esta lista es un modelo para adaptar. Quite lo que su empresa no pide, agregue lo propio de su unidad y conserve cada lista completa junto con los documentos revisados.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Revisó (firma y nombre)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Responsable del control de contratistas (firma y nombre)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auditans.com/pe/recursos/requisitos-para-contratistas-mineros</w:t>
    </w:r>
  </w:p>
  <w:p>
    <w:pPr>
      <w:pStyle w:val="Footer"/>
    </w:pPr>
    <w:r>
      <w:t xml:space="preserve">Versión 1.0 · 10 de febrero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PE" w:eastAsia="es-PE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Requisitos para contratistas mineros</dc:title>
  <dc:creator>Auditans</dc:creator>
  <dc:language>es-PE</dc:language>
  <cp:version>1.0</cp:version>
  <dcterms:created xsi:type="dcterms:W3CDTF">2026-02-10T00:00:00Z</dcterms:created>
  <dcterms:modified xsi:type="dcterms:W3CDTF">2026-02-10T00:00:00Z</dcterms:modified>
</cp:coreProperties>
</file>