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control de contratistas</w:t>
      </w:r>
    </w:p>
    <w:p>
      <w:r>
        <w:t xml:space="preserve">Lista de control de </w:t>
      </w:r>
      <w:r>
        <w:rPr>
          <w:b/>
          <w:bCs/>
        </w:rPr>
        <w:t xml:space="preserve">[Razón social de la empresa]</w:t>
      </w:r>
      <w:r>
        <w:t xml:space="preserve"> para revisar a un contratista. Se completa una vez en el alta y una vez por mes. Marque cada punto con Sí, No o No aplica; todo lo que quede en No se anota en las observaciones, con su motivo y la fecha en que se corrige.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tarea: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controlado: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revisión: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Cómo se revisa cada documento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Titular: la razón social y el CUIT, o el nombre y el CUIL, son exactamente los del registro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Emisor: lo emitió quien corresponde (la ART, la aseguradora, el médico, el organismo), no el propio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Período: las fechas de vigencia, o el mes que declara, son los que se piden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Alcance: incluye a todas las personas, vehículos y sitios que debe incluir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Completitud: todas las páginas, firmas y sellos, legible y con el comprobante de pago cuando corresponde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Primera parte: la firma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contrato está vigente y cubre este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inscripción en ARCA (ex AFIP): el CUIT coincide con el del contrato y las actividades tienen relación con el trabajo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trae empleados, figura inscripto como empleador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Certificado de cobertura de la ART con la nómina del mes, vigente, con cada persona y su CUIL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Cláusula de no repetición o endoso a favor de la empresa en ese certificado, con la razón social y el CUIT exactos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vida obligatorio, con póliza vigente y constancia de pago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de responsabilidad civil, con actividad, ubicación, suma asegurada, vigencia y pago como pide el contrato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Política o programa de seguridad e higiene, firmado y vinculado a la tarea del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Datos bancarios, con la cuenta a nombre de la firma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trabaja solo, sin ART, la constancia de monotributo o de autónomos al día y el seguro de accidentes personales, con la empresa en la póliza como ella lo define: [beneficiaria para la asistencia médica o asegurada adicional]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Segunda parte: cada persona que entra</w:t>
      </w:r>
    </w:p>
    <w:p>
      <w:pPr>
        <w:keepNext/>
      </w:pPr>
      <w:r>
        <w:rPr>
          <w:b/>
          <w:bCs/>
        </w:rPr>
        <w:t xml:space="preserve">16. Personas controladas</w:t>
      </w:r>
      <w:r>
        <w:t xml:space="preserve"/>
        <w:br/>
        <w:t xml:space="preserve">Marque Sí, No o N/A en cada columna. CUIL: coincide con el DNI. Alta: constancia de alta temprana a nombre de la firma. ART: figura en la nómina vigente. Apto: el que pide su tarea. Cursos: la inducción del sitio y las capacitaciones y habilitaciones de su tarea.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723"/>
        <w:gridCol w:w="1361"/>
        <w:gridCol w:w="1152"/>
        <w:gridCol w:w="1047"/>
        <w:gridCol w:w="1047"/>
        <w:gridCol w:w="1047"/>
        <w:gridCol w:w="1257"/>
      </w:tblGrid>
      <w:tr>
        <w:trPr>
          <w:cantSplit/>
          <w:tblHeader/>
        </w:trPr>
        <w:tc>
          <w:tcPr>
            <w:tcW w:w="272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36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11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CUIL</w:t>
            </w:r>
          </w:p>
        </w:tc>
        <w:tc>
          <w:tcPr>
            <w:tcW w:w="1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Alta</w:t>
            </w:r>
          </w:p>
        </w:tc>
        <w:tc>
          <w:tcPr>
            <w:tcW w:w="1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ART</w:t>
            </w:r>
          </w:p>
        </w:tc>
        <w:tc>
          <w:tcPr>
            <w:tcW w:w="104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Apto</w:t>
            </w:r>
          </w:p>
        </w:tc>
        <w:tc>
          <w:tcPr>
            <w:tcW w:w="125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Cursos</w:t>
            </w:r>
          </w:p>
        </w:tc>
      </w:tr>
      <w:tr>
        <w:trPr>
          <w:cantSplit/>
          <w:trHeight w:val="454" w:hRule="atLeast"/>
        </w:trPr>
        <w:tc>
          <w:tcPr>
            <w:tcW w:w="2723" w:type="dxa"/>
          </w:tcPr>
          <w:p>
            <w:pPr>
              <w:pStyle w:val="Cell"/>
            </w:pPr>
          </w:p>
        </w:tc>
        <w:tc>
          <w:tcPr>
            <w:tcW w:w="1361" w:type="dxa"/>
          </w:tcPr>
          <w:p>
            <w:pPr>
              <w:pStyle w:val="Cell"/>
            </w:pPr>
          </w:p>
        </w:tc>
        <w:tc>
          <w:tcPr>
            <w:tcW w:w="1152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2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3" w:type="dxa"/>
          </w:tcPr>
          <w:p>
            <w:pPr>
              <w:pStyle w:val="Cell"/>
            </w:pPr>
          </w:p>
        </w:tc>
        <w:tc>
          <w:tcPr>
            <w:tcW w:w="1361" w:type="dxa"/>
          </w:tcPr>
          <w:p>
            <w:pPr>
              <w:pStyle w:val="Cell"/>
            </w:pPr>
          </w:p>
        </w:tc>
        <w:tc>
          <w:tcPr>
            <w:tcW w:w="1152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2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3" w:type="dxa"/>
          </w:tcPr>
          <w:p>
            <w:pPr>
              <w:pStyle w:val="Cell"/>
            </w:pPr>
          </w:p>
        </w:tc>
        <w:tc>
          <w:tcPr>
            <w:tcW w:w="1361" w:type="dxa"/>
          </w:tcPr>
          <w:p>
            <w:pPr>
              <w:pStyle w:val="Cell"/>
            </w:pPr>
          </w:p>
        </w:tc>
        <w:tc>
          <w:tcPr>
            <w:tcW w:w="1152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2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3" w:type="dxa"/>
          </w:tcPr>
          <w:p>
            <w:pPr>
              <w:pStyle w:val="Cell"/>
            </w:pPr>
          </w:p>
        </w:tc>
        <w:tc>
          <w:tcPr>
            <w:tcW w:w="1361" w:type="dxa"/>
          </w:tcPr>
          <w:p>
            <w:pPr>
              <w:pStyle w:val="Cell"/>
            </w:pPr>
          </w:p>
        </w:tc>
        <w:tc>
          <w:tcPr>
            <w:tcW w:w="1152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25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3" w:type="dxa"/>
          </w:tcPr>
          <w:p>
            <w:pPr>
              <w:pStyle w:val="Cell"/>
            </w:pPr>
          </w:p>
        </w:tc>
        <w:tc>
          <w:tcPr>
            <w:tcW w:w="1361" w:type="dxa"/>
          </w:tcPr>
          <w:p>
            <w:pPr>
              <w:pStyle w:val="Cell"/>
            </w:pPr>
          </w:p>
        </w:tc>
        <w:tc>
          <w:tcPr>
            <w:tcW w:w="1152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047" w:type="dxa"/>
          </w:tcPr>
          <w:p>
            <w:pPr>
              <w:pStyle w:val="Cell"/>
            </w:pPr>
          </w:p>
        </w:tc>
        <w:tc>
          <w:tcPr>
            <w:tcW w:w="125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entrega de elementos de protección personal firmada por cada trabajador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pidió por persona, sin constancias colectivas que digan que todo el personal está capacitado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trabaja como socio o monotributista está registrado por sí mismo, con lo suyo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Tercera parte: vehículos y máquinas</w:t>
      </w:r>
    </w:p>
    <w:p>
      <w:pPr>
        <w:keepNext/>
      </w:pPr>
      <w:r>
        <w:rPr>
          <w:b/>
          <w:bCs/>
        </w:rPr>
        <w:t xml:space="preserve">20. Vehículos y máquinas controlados</w:t>
      </w:r>
      <w:r>
        <w:t xml:space="preserve"/>
        <w:br/>
        <w:t xml:space="preserve">Seguro: vigente, con la patente igual a la registrada y comprobante de pago. VTV o RTO: vigente. Inspección: certificado de equipos de izaje, elevación o movimiento de suelos. La licencia de quien maneja y la habilitación de quien opera se controlan en la segunda parte.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542"/>
        <w:gridCol w:w="2120"/>
        <w:gridCol w:w="1156"/>
        <w:gridCol w:w="1734"/>
        <w:gridCol w:w="1542"/>
        <w:gridCol w:w="1542"/>
      </w:tblGrid>
      <w:tr>
        <w:trPr>
          <w:cantSplit/>
          <w:tblHeader/>
        </w:trPr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Patente o serie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Cédula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Seguro y pago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VTV o RTO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</w:t>
            </w: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 quien maneja se le pidió su licencia, y a quien opera una máquina, su habilitación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Cuarta parte: el control del mes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F.931 del mes anterior: es del contratista, del período pedido y, si es una rectificativa, se sabe cuál reemplaza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F.931 trae la nómina de trabajadores declarados y el acuse de presentación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comprobante de pago es por el importe de la declaración y del período correcto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persona que entró al sitio en el mes figura en la nómina del F.931, buscada una por una por su CUIL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Recibos de sueldo firmados de las personas que trabajaron en el sitio, y constancia de que el sueldo se pagó en una cuenta a nombre de cada trabajador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el contratista no trabajó en el sitio este mes, quedó registrado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Quinta parte: la puerta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Todo lo que es obligatorio para ingresar está aprobado antes del primer día de cada persona, vehículo y máquina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tiene un requisito obligatorio vencido o faltante no ingresa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entrada y cada salida del contratista quedó registrada, con su hora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excepciones al ingreso del mes constan por escrito, con su motivo, lo que faltaba ese día y quién las autorizó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 de la revisión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aprobación y cada rechazo de esta revisión quedó con el nombre de quien lo decidió y la fecha real en que se hizo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que quedó en No se comunicó al contratista por escrito, con el detalle de qué corregir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34. Observaciones y fecha de corrección de cada No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Esta lista es un modelo para adaptar. Quite lo que su empresa no pide, agregue lo propio y conserve cada lista completa junto con los documentos revisados.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Revisó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auditans.com/recursos/checklist-de-control-de-contratistas</w:t>
    </w:r>
  </w:p>
  <w:p>
    <w:pPr>
      <w:pStyle w:val="Footer"/>
    </w:pPr>
    <w:r>
      <w:t xml:space="preserve">Versión 1.0 · 30 de marzo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control de contratistas</dc:title>
  <dc:creator>Auditans</dc:creator>
  <dc:language>es-AR</dc:language>
  <cp:version>1.0</cp:version>
  <dcterms:created xsi:type="dcterms:W3CDTF">2026-03-30T00:00:00Z</dcterms:created>
  <dcterms:modified xsi:type="dcterms:W3CDTF">2026-03-30T00:00:00Z</dcterms:modified>
</cp:coreProperties>
</file>