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Cláusula de información y retención</w:t>
      </w:r>
    </w:p>
    <w:p>
      <w:r>
        <w:t xml:space="preserve">Forma parte del </w:t>
      </w:r>
      <w:r>
        <w:rPr>
          <w:b/>
          <w:bCs/>
        </w:rPr>
        <w:t xml:space="preserve">[contrato / orden de compra] N° [número]</w:t>
      </w:r>
      <w:r>
        <w:t xml:space="preserve">, de fecha </w:t>
      </w:r>
      <w:r>
        <w:rPr>
          <w:b/>
          <w:bCs/>
        </w:rPr>
        <w:t xml:space="preserve">[fecha]</w:t>
      </w:r>
      <w:r>
        <w:t xml:space="preserve">, como anexo. Versión </w:t>
      </w:r>
      <w:r>
        <w:rPr>
          <w:b/>
          <w:bCs/>
        </w:rPr>
        <w:t xml:space="preserve">[número]</w:t>
      </w:r>
      <w:r>
        <w:t xml:space="preserve">.</w:t>
      </w:r>
    </w:p>
    <w:p>
      <w:pPr>
        <w:pStyle w:val="Note"/>
      </w:pPr>
      <w:r>
        <w:t xml:space="preserve">Modelo para adaptar. Los textos entre corchetes se reemplazan por los datos, los plazos y las referencias del contrato. No es asesoramiento legal.</w:t>
      </w:r>
    </w:p>
    <w:p>
      <w:pPr>
        <w:pStyle w:val="Heading1"/>
      </w:pPr>
      <w:r>
        <w:t xml:space="preserve">1. Objeto y alcance</w:t>
      </w:r>
    </w:p>
    <w:p>
      <w:r>
        <w:rPr>
          <w:b/>
          <w:bCs/>
        </w:rPr>
        <w:t xml:space="preserve">1.1</w:t>
      </w:r>
      <w:r>
        <w:t xml:space="preserve"> Este anexo forma parte del contrato indicado arriba entre </w:t>
      </w:r>
      <w:r>
        <w:rPr>
          <w:b/>
          <w:bCs/>
        </w:rPr>
        <w:t xml:space="preserve">[Razón social de la empresa]</w:t>
      </w:r>
      <w:r>
        <w:t xml:space="preserve">, RUT </w:t>
      </w:r>
      <w:r>
        <w:rPr>
          <w:b/>
          <w:bCs/>
        </w:rPr>
        <w:t xml:space="preserve">[número]</w:t>
      </w:r>
      <w:r>
        <w:t xml:space="preserve"> (en adelante, «la Principal») y </w:t>
      </w:r>
      <w:r>
        <w:rPr>
          <w:b/>
          <w:bCs/>
        </w:rPr>
        <w:t xml:space="preserve">[Razón social del contratista]</w:t>
      </w:r>
      <w:r>
        <w:t xml:space="preserve">, RUT </w:t>
      </w:r>
      <w:r>
        <w:rPr>
          <w:b/>
          <w:bCs/>
        </w:rPr>
        <w:t xml:space="preserve">[número]</w:t>
      </w:r>
      <w:r>
        <w:t xml:space="preserve"> (en adelante, «el Contratista»). Establece cómo la Principal ejerce el derecho a ser informada del artículo 4 de la Ley 18.251 y la facultad de retención del artículo 5, respecto de los trabajadores que el Contratista emplea en </w:t>
      </w:r>
      <w:r>
        <w:rPr>
          <w:b/>
          <w:bCs/>
        </w:rPr>
        <w:t xml:space="preserve">[servicio u obra contratada]</w:t>
      </w:r>
      <w:r>
        <w:t xml:space="preserve">.</w:t>
      </w:r>
    </w:p>
    <w:p>
      <w:r>
        <w:rPr>
          <w:b/>
          <w:bCs/>
        </w:rPr>
        <w:t xml:space="preserve">1.2</w:t>
      </w:r>
      <w:r>
        <w:t xml:space="preserve"> Alcanza a todos los trabajadores que el Contratista emplea en el servicio, dentro o fuera de </w:t>
      </w:r>
      <w:r>
        <w:rPr>
          <w:b/>
          <w:bCs/>
        </w:rPr>
        <w:t xml:space="preserve">[nombre de la planta]</w:t>
      </w:r>
      <w:r>
        <w:t xml:space="preserve">, y a los de sus subcontratistas.</w:t>
      </w:r>
    </w:p>
    <w:p>
      <w:r>
        <w:rPr>
          <w:b/>
          <w:bCs/>
        </w:rPr>
        <w:t xml:space="preserve">1.3</w:t>
      </w:r>
      <w:r>
        <w:t xml:space="preserve"> Rige desde su firma y hasta que el Contratista acredite el cumplimiento de las obligaciones del último período trabajado.</w:t>
      </w:r>
    </w:p>
    <w:p>
      <w:pPr>
        <w:pStyle w:val="Heading1"/>
      </w:pPr>
      <w:r>
        <w:t xml:space="preserve">2. Información que presenta el Contratista</w:t>
      </w:r>
    </w:p>
    <w:p>
      <w:r>
        <w:rPr>
          <w:b/>
          <w:bCs/>
        </w:rPr>
        <w:t xml:space="preserve">2.1</w:t>
      </w:r>
      <w:r>
        <w:t xml:space="preserve"> El Contratista informa a la Principal el monto y el estado de cumplimiento de sus obligaciones laborales, previsionales y del seguro de accidentes del trabajo y enfermedades profesionales, y presenta la documentación de esta tabla:</w:t>
      </w:r>
    </w:p>
    <w:tbl>
      <w:tblPr>
        <w:tblW w:w="9637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CellMar>
          <w:left w:w="85" w:type="dxa"/>
          <w:right w:w="85" w:type="dxa"/>
        </w:tblCellMar>
      </w:tblPr>
      <w:tblGrid>
        <w:gridCol w:w="5975"/>
        <w:gridCol w:w="3662"/>
      </w:tblGrid>
      <w:tr>
        <w:trPr>
          <w:cantSplit/>
          <w:tblHeader/>
        </w:trPr>
        <w:tc>
          <w:tcPr>
            <w:tcW w:w="5975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Documento</w:t>
            </w:r>
          </w:p>
        </w:tc>
        <w:tc>
          <w:tcPr>
            <w:tcW w:w="3662" w:type="dxa"/>
            <w:shd w:val="clear" w:color="auto" w:fill="F2F2F2"/>
          </w:tcPr>
          <w:p>
            <w:pPr>
              <w:pStyle w:val="Cell"/>
            </w:pPr>
            <w:r>
              <w:rPr>
                <w:b/>
                <w:bCs/>
              </w:rPr>
              <w:t xml:space="preserve">Cuándo se presenta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Declaración nominada de historia laboral ante el Banco de Previsión Social, con el recibo de pago de las cotizaciones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[Cada mes]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Certificado que acredita la situación regular de pago de las contribuciones a la seguridad social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Al inicio y en cada renovación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Constancia del Banco de Seguros del Estado que acredita la existencia del seguro de accidentes del trabajo y enfermedades profesionales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Al inicio y [cada mes / en cada renovación]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Planilla de control de trabajo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Al inicio y ante cada cambio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Recibos de sueldo de cada trabajador comprendido en el servicio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[Cada mes]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Convenio colectivo aplicable, si corresponde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Al inicio y ante cada ajuste</w:t>
            </w:r>
          </w:p>
        </w:tc>
      </w:tr>
      <w:tr>
        <w:trPr>
          <w:cantSplit/>
        </w:trPr>
        <w:tc>
          <w:tcPr>
            <w:tcW w:w="5975" w:type="dxa"/>
          </w:tcPr>
          <w:p>
            <w:pPr>
              <w:pStyle w:val="Cell"/>
            </w:pPr>
            <w:r>
              <w:t xml:space="preserve">Nómina de los trabajadores comprendidos en el servicio, con nombre, apellido y cédula de identidad</w:t>
            </w:r>
          </w:p>
        </w:tc>
        <w:tc>
          <w:tcPr>
            <w:tcW w:w="3662" w:type="dxa"/>
          </w:tcPr>
          <w:p>
            <w:pPr>
              <w:pStyle w:val="Cell"/>
            </w:pPr>
            <w:r>
              <w:t xml:space="preserve">[Cada mes] y ante cada alta o baja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bCs/>
        </w:rPr>
        <w:t xml:space="preserve">2.2</w:t>
      </w:r>
      <w:r>
        <w:t xml:space="preserve"> La Principal puede pedir, además, </w:t>
      </w:r>
      <w:r>
        <w:rPr>
          <w:b/>
          <w:bCs/>
        </w:rPr>
        <w:t xml:space="preserve">[otros documentos que la empresa exija, por ejemplo el certificado único de la DGI]</w:t>
      </w:r>
      <w:r>
        <w:t xml:space="preserve">.</w:t>
      </w:r>
    </w:p>
    <w:p>
      <w:pPr>
        <w:pStyle w:val="Heading1"/>
      </w:pPr>
      <w:r>
        <w:t xml:space="preserve">3. Plazos y forma de presentación</w:t>
      </w:r>
    </w:p>
    <w:p>
      <w:r>
        <w:rPr>
          <w:b/>
          <w:bCs/>
        </w:rPr>
        <w:t xml:space="preserve">3.1</w:t>
      </w:r>
      <w:r>
        <w:t xml:space="preserve"> La documentación de cada mes se presenta hasta el día </w:t>
      </w:r>
      <w:r>
        <w:rPr>
          <w:b/>
          <w:bCs/>
        </w:rPr>
        <w:t xml:space="preserve">[número]</w:t>
      </w:r>
      <w:r>
        <w:t xml:space="preserve"> del mes siguiente, por </w:t>
      </w:r>
      <w:r>
        <w:rPr>
          <w:b/>
          <w:bCs/>
        </w:rPr>
        <w:t xml:space="preserve">[canal]</w:t>
      </w:r>
      <w:r>
        <w:t xml:space="preserve">.</w:t>
      </w:r>
    </w:p>
    <w:p>
      <w:r>
        <w:rPr>
          <w:b/>
          <w:bCs/>
        </w:rPr>
        <w:t xml:space="preserve">3.2</w:t>
      </w:r>
      <w:r>
        <w:t xml:space="preserve"> La Principal revisa lo presentado dentro de </w:t>
      </w:r>
      <w:r>
        <w:rPr>
          <w:b/>
          <w:bCs/>
        </w:rPr>
        <w:t xml:space="preserve">[número]</w:t>
      </w:r>
      <w:r>
        <w:t xml:space="preserve"> días hábiles y comunica cada rechazo con su motivo y con lo que hace falta para corregirlo.</w:t>
      </w:r>
    </w:p>
    <w:p>
      <w:r>
        <w:rPr>
          <w:b/>
          <w:bCs/>
        </w:rPr>
        <w:t xml:space="preserve">3.3</w:t>
      </w:r>
      <w:r>
        <w:t xml:space="preserve"> Una corrección se presenta como un documento nuevo, y el anterior se conserva.</w:t>
      </w:r>
    </w:p>
    <w:p>
      <w:pPr>
        <w:pStyle w:val="Heading1"/>
      </w:pPr>
      <w:r>
        <w:t xml:space="preserve">4. Altas y bajas de personal</w:t>
      </w:r>
    </w:p>
    <w:p>
      <w:r>
        <w:rPr>
          <w:b/>
          <w:bCs/>
        </w:rPr>
        <w:t xml:space="preserve">4.1</w:t>
      </w:r>
      <w:r>
        <w:t xml:space="preserve"> El Contratista informa cada alta con </w:t>
      </w:r>
      <w:r>
        <w:rPr>
          <w:b/>
          <w:bCs/>
        </w:rPr>
        <w:t xml:space="preserve">[número]</w:t>
      </w:r>
      <w:r>
        <w:t xml:space="preserve"> días hábiles de anticipación al primer día de trabajo de la persona, con la constancia de su alta ante el Banco de Previsión Social, y cada baja el día en que ocurre.</w:t>
      </w:r>
    </w:p>
    <w:p>
      <w:r>
        <w:rPr>
          <w:b/>
          <w:bCs/>
        </w:rPr>
        <w:t xml:space="preserve">4.2</w:t>
      </w:r>
      <w:r>
        <w:t xml:space="preserve"> El Contratista deja constancia de haber informado a cada trabajador, antes de que empiece a trabajar, sus condiciones de empleo, su salario y la empresa para la cual presta servicios, y presenta esa constancia cuando la Principal la pide.</w:t>
      </w:r>
    </w:p>
    <w:p>
      <w:pPr>
        <w:pStyle w:val="Heading1"/>
      </w:pPr>
      <w:r>
        <w:t xml:space="preserve">5. Datos personales de los trabajadores</w:t>
      </w:r>
    </w:p>
    <w:p>
      <w:r>
        <w:rPr>
          <w:b/>
          <w:bCs/>
        </w:rPr>
        <w:t xml:space="preserve">5.1</w:t>
      </w:r>
      <w:r>
        <w:t xml:space="preserve"> La Principal puede requerir los datos personales de los trabajadores comprendidos en el servicio, para hacer los controles que estime pertinentes.</w:t>
      </w:r>
    </w:p>
    <w:p>
      <w:r>
        <w:rPr>
          <w:b/>
          <w:bCs/>
        </w:rPr>
        <w:t xml:space="preserve">5.2</w:t>
      </w:r>
      <w:r>
        <w:t xml:space="preserve"> La Principal usa esos datos solo para esos controles y para el control de ingreso a sus plantas, y los trata de acuerdo con la Ley 18.331 de protección de datos personales.</w:t>
      </w:r>
    </w:p>
    <w:p>
      <w:pPr>
        <w:pStyle w:val="Heading1"/>
      </w:pPr>
      <w:r>
        <w:t xml:space="preserve">6. Retención y pago</w:t>
      </w:r>
    </w:p>
    <w:p>
      <w:r>
        <w:rPr>
          <w:b/>
          <w:bCs/>
        </w:rPr>
        <w:t xml:space="preserve">6.1</w:t>
      </w:r>
      <w:r>
        <w:t xml:space="preserve"> Si el Contratista no acredita oportunamente el cumplimiento de las obligaciones de la cláusula 2, la Principal puede retener de lo que le adeude el monto correspondiente.</w:t>
      </w:r>
    </w:p>
    <w:p>
      <w:r>
        <w:rPr>
          <w:b/>
          <w:bCs/>
        </w:rPr>
        <w:t xml:space="preserve">6.2</w:t>
      </w:r>
      <w:r>
        <w:t xml:space="preserve"> La Principal paga con lo retenido al trabajador, a la entidad previsional acreedora y al Banco de Seguros del Estado, según a quién se le deba.</w:t>
      </w:r>
    </w:p>
    <w:p>
      <w:r>
        <w:rPr>
          <w:b/>
          <w:bCs/>
        </w:rPr>
        <w:t xml:space="preserve">6.3</w:t>
      </w:r>
      <w:r>
        <w:t xml:space="preserve"> La Principal comunica cada retención al Contratista por escrito, con su importe, el período y la obligación que la origina, y le informa cada pago que hace con lo retenido.</w:t>
      </w:r>
    </w:p>
    <w:p>
      <w:r>
        <w:rPr>
          <w:b/>
          <w:bCs/>
        </w:rPr>
        <w:t xml:space="preserve">6.4</w:t>
      </w:r>
      <w:r>
        <w:t xml:space="preserve"> La Principal puede también pagar por subrogación.</w:t>
      </w:r>
    </w:p>
    <w:p>
      <w:r>
        <w:rPr>
          <w:b/>
          <w:bCs/>
        </w:rPr>
        <w:t xml:space="preserve">6.5</w:t>
      </w:r>
      <w:r>
        <w:t xml:space="preserve"> </w:t>
      </w:r>
      <w:r>
        <w:rPr>
          <w:b/>
          <w:bCs/>
        </w:rPr>
        <w:t xml:space="preserve">[Si el Contratista acredita después el cumplimiento, la Principal le entrega dentro de [número] días hábiles lo retenido que no haya pagado.]</w:t>
      </w:r>
    </w:p>
    <w:p>
      <w:pPr>
        <w:pStyle w:val="Heading1"/>
      </w:pPr>
      <w:r>
        <w:t xml:space="preserve">7. Subcontratistas</w:t>
      </w:r>
    </w:p>
    <w:p>
      <w:r>
        <w:rPr>
          <w:b/>
          <w:bCs/>
        </w:rPr>
        <w:t xml:space="preserve">7.1</w:t>
      </w:r>
      <w:r>
        <w:t xml:space="preserve"> El Contratista solo subcontrata con la autorización previa y por escrito de la Principal.</w:t>
      </w:r>
    </w:p>
    <w:p>
      <w:r>
        <w:rPr>
          <w:b/>
          <w:bCs/>
        </w:rPr>
        <w:t xml:space="preserve">7.2</w:t>
      </w:r>
      <w:r>
        <w:t xml:space="preserve"> El Contratista presenta, respecto de cada subcontratista y de sus trabajadores, la misma documentación y en los mismos plazos.</w:t>
      </w:r>
    </w:p>
    <w:p>
      <w:r>
        <w:rPr>
          <w:b/>
          <w:bCs/>
        </w:rPr>
        <w:t xml:space="preserve">7.3</w:t>
      </w:r>
      <w:r>
        <w:t xml:space="preserve"> El Contratista tiene frente a sus subcontratistas el mismo derecho de retención.</w:t>
      </w:r>
    </w:p>
    <w:p>
      <w:pPr>
        <w:pStyle w:val="Heading1"/>
      </w:pPr>
      <w:r>
        <w:t xml:space="preserve">8. Seguridad y salud en el trabajo</w:t>
      </w:r>
    </w:p>
    <w:p>
      <w:r>
        <w:rPr>
          <w:b/>
          <w:bCs/>
        </w:rPr>
        <w:t xml:space="preserve">8.1</w:t>
      </w:r>
      <w:r>
        <w:t xml:space="preserve"> El Contratista mantiene vigente el seguro de accidentes del trabajo y enfermedades profesionales de todo su personal durante todo el contrato, y cumple las normas de seguridad y salud en el trabajo que alcanzan a su tarea.</w:t>
      </w:r>
    </w:p>
    <w:p>
      <w:r>
        <w:rPr>
          <w:b/>
          <w:bCs/>
        </w:rPr>
        <w:t xml:space="preserve">8.2</w:t>
      </w:r>
      <w:r>
        <w:t xml:space="preserve"> Las partes coordinan sus trabajos cuando se hacen al mismo tiempo en el mismo lugar. La Principal colabora en la aplicación de las medidas de resguardo y seguridad, y el Contratista sigue siendo responsable de las que le corresponden como empleador.</w:t>
      </w:r>
    </w:p>
    <w:p>
      <w:pPr>
        <w:pStyle w:val="Heading1"/>
      </w:pPr>
      <w:r>
        <w:t xml:space="preserve">9. Incumplimientos</w:t>
      </w:r>
    </w:p>
    <w:p>
      <w:r>
        <w:rPr>
          <w:b/>
          <w:bCs/>
        </w:rPr>
        <w:t xml:space="preserve">9.1</w:t>
      </w:r>
      <w:r>
        <w:t xml:space="preserve"> Ante la falta de un documento, la Principal avanza de a un paso por vez y por escrito: </w:t>
      </w:r>
      <w:r>
        <w:rPr>
          <w:b/>
          <w:bCs/>
        </w:rPr>
        <w:t xml:space="preserve">[un reclamo con su plazo; el contacto con el responsable del Contratista; la retención de la cláusula 6; lo que la cláusula [número] del contrato prevé sobre la suspensión o la rescisión]</w:t>
      </w:r>
      <w:r>
        <w:t xml:space="preserve">.</w:t>
      </w:r>
    </w:p>
    <w:p>
      <w:r>
        <w:rPr>
          <w:b/>
          <w:bCs/>
        </w:rPr>
        <w:t xml:space="preserve">9.2</w:t>
      </w:r>
      <w:r>
        <w:t xml:space="preserve"> Lo que impide el ingreso a una planta es lo que la Principal marca como obligatorio para ingresar, igual para todos sus contratistas.</w:t>
      </w:r>
    </w:p>
    <w:p>
      <w:pPr>
        <w:pStyle w:val="Heading1"/>
      </w:pPr>
      <w:r>
        <w:t xml:space="preserve">10. Aceptación</w:t>
      </w:r>
    </w:p>
    <w:p>
      <w:r>
        <w:rPr>
          <w:b/>
          <w:bCs/>
        </w:rPr>
        <w:t xml:space="preserve">10.1</w:t>
      </w:r>
      <w:r>
        <w:t xml:space="preserve"> Las partes firman este anexo en dos ejemplares de un mismo tenor, en </w:t>
      </w:r>
      <w:r>
        <w:rPr>
          <w:b/>
          <w:bCs/>
        </w:rPr>
        <w:t xml:space="preserve">[ciudad]</w:t>
      </w:r>
      <w:r>
        <w:t xml:space="preserve">, el </w:t>
      </w:r>
      <w:r>
        <w:rPr>
          <w:b/>
          <w:bCs/>
        </w:rPr>
        <w:t xml:space="preserve">[fecha]</w:t>
      </w:r>
      <w:r>
        <w:t xml:space="preserve">.</w:t>
      </w:r>
    </w:p>
    <w:p>
      <w:pPr>
        <w:spacing w:before="600"/>
      </w:pPr>
    </w:p>
    <w:tbl>
      <w:tblPr>
        <w:tblW w:w="9637" w:type="dxa"/>
        <w:tblLayout w:type="fixed"/>
        <w:tblCellMar>
          <w:left w:w="0" w:type="dxa"/>
          <w:right w:w="0" w:type="dxa"/>
        </w:tblCellMar>
      </w:tblPr>
      <w:tblGrid>
        <w:gridCol w:w="4626"/>
        <w:gridCol w:w="385"/>
        <w:gridCol w:w="4626"/>
      </w:tblGrid>
      <w:tr>
        <w:trPr>
          <w:cantSplit/>
        </w:trPr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la Principal (firma, aclaración y cargo)</w:t>
            </w:r>
          </w:p>
        </w:tc>
        <w:tc>
          <w:tcPr>
            <w:tcW w:w="385" w:type="dxa"/>
          </w:tcPr>
          <w:p>
            <w:pPr>
              <w:pStyle w:val="Cell"/>
            </w:pPr>
          </w:p>
        </w:tc>
        <w:tc>
          <w:tcPr>
            <w:tcW w:w="4626" w:type="dxa"/>
            <w:tcBorders>
              <w:top w:val="single" w:sz="4" w:space="0" w:color="999999"/>
            </w:tcBorders>
          </w:tcPr>
          <w:p>
            <w:pPr>
              <w:pStyle w:val="Cell"/>
              <w:jc w:val="center"/>
            </w:pPr>
            <w:r>
              <w:t xml:space="preserve">Por el Contratista (firma, aclaración y cargo)</w:t>
            </w:r>
          </w:p>
        </w:tc>
      </w:tr>
    </w:tbl>
    <w:p>
      <w:pPr>
        <w:spacing w:before="0" w:after="0" w:line="120" w:lineRule="exact"/>
      </w:pPr>
    </w:p>
    <w:sectPr>
      <w:footerReference w:type="default" r:id="rId4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t xml:space="preserve">auditans.com/uy/recursos/clausula-de-informacion-y-retencion-para-el-contrato-con-contratistas</w:t>
    </w:r>
  </w:p>
  <w:p>
    <w:pPr>
      <w:pStyle w:val="Footer"/>
    </w:pPr>
    <w:r>
      <w:t xml:space="preserve">Versión 1.0 · 8 de abril de 2026</w:t>
    </w:r>
    <w:r>
      <w:tab/>
    </w:r>
    <w:r>
      <w:t xml:space="preserve">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de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567" w:hanging="283"/>
      </w:p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eastAsia="Arial" w:hAnsi="Arial" w:cs="Arial"/>
        <w:sz w:val="21"/>
        <w:szCs w:val="21"/>
        <w:lang w:val="es-UY" w:eastAsia="es-UY" w:bidi="ar-S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 w:line="240" w:lineRule="auto"/>
    </w:pPr>
    <w:rPr>
      <w:b/>
      <w:bCs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before="240" w:after="120"/>
      <w:outlineLvl w:val="1"/>
    </w:pPr>
    <w:rPr>
      <w:b/>
      <w:bCs/>
      <w:sz w:val="23"/>
      <w:szCs w:val="23"/>
    </w:rPr>
  </w:style>
  <w:style w:type="paragraph" w:styleId="Note">
    <w:name w:val="Nota"/>
    <w:basedOn w:val="Normal"/>
    <w:qFormat/>
    <w:rPr>
      <w:color w:val="595959"/>
      <w:sz w:val="18"/>
      <w:szCs w:val="18"/>
    </w:rPr>
  </w:style>
  <w:style w:type="paragraph" w:styleId="Cell">
    <w:name w:val="Celda"/>
    <w:basedOn w:val="Normal"/>
    <w:qFormat/>
    <w:pPr>
      <w:spacing w:before="40" w:after="40" w:line="252" w:lineRule="auto"/>
    </w:pPr>
    <w:rPr>
      <w:sz w:val="19"/>
      <w:szCs w:val="19"/>
    </w:rPr>
  </w:style>
  <w:style w:type="paragraph" w:styleId="Footer">
    <w:name w:val="footer"/>
    <w:basedOn w:val="Normal"/>
    <w:pPr>
      <w:tabs>
        <w:tab w:val="right" w:pos="9638"/>
      </w:tabs>
      <w:spacing w:after="0"/>
    </w:pPr>
    <w:rPr>
      <w:color w:val="595959"/>
      <w:sz w:val="16"/>
      <w:szCs w:val="16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footer" Target="footer1.xml"/>
</Relationships>
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Cláusula de información y retención para el contrato con contratistas</dc:title>
  <dc:creator>Auditans</dc:creator>
  <dc:language>es-UY</dc:language>
  <cp:version>1.0</cp:version>
  <dcterms:created xsi:type="dcterms:W3CDTF">2026-04-08T00:00:00Z</dcterms:created>
  <dcterms:modified xsi:type="dcterms:W3CDTF">2026-04-08T00:00:00Z</dcterms:modified>
</cp:coreProperties>
</file>